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DBD0C" w14:textId="77777777" w:rsidR="009355BC" w:rsidRPr="00BB3CC3" w:rsidRDefault="009355BC" w:rsidP="009355BC">
      <w:pPr>
        <w:rPr>
          <w:rFonts w:eastAsia="Times New Roman"/>
          <w:b/>
          <w:bCs/>
        </w:rPr>
      </w:pPr>
      <w:r>
        <w:rPr>
          <w:b/>
          <w:sz w:val="40"/>
        </w:rPr>
        <w:t>Un jalon pour le Nigeria – le Wirtgen Group et JBN réalisent un projet exemplaire</w:t>
      </w:r>
    </w:p>
    <w:p w14:paraId="758A569D" w14:textId="77777777" w:rsidR="009355BC" w:rsidRPr="00BB3CC3" w:rsidRDefault="009355BC" w:rsidP="009355BC">
      <w:pPr>
        <w:rPr>
          <w:rFonts w:eastAsia="Times New Roman"/>
          <w:b/>
          <w:sz w:val="28"/>
          <w:szCs w:val="28"/>
        </w:rPr>
      </w:pPr>
    </w:p>
    <w:p w14:paraId="5729BC65" w14:textId="77777777" w:rsidR="009355BC" w:rsidRPr="00BB3CC3" w:rsidRDefault="009355BC" w:rsidP="009355BC">
      <w:pPr>
        <w:rPr>
          <w:rFonts w:eastAsia="Times New Roman"/>
          <w:b/>
          <w:sz w:val="28"/>
          <w:szCs w:val="28"/>
        </w:rPr>
      </w:pPr>
      <w:r>
        <w:rPr>
          <w:b/>
          <w:sz w:val="28"/>
        </w:rPr>
        <w:t>Réhabilitation d’une autoroute longue de 375 km dans le respect de l’environnement avec le procédé de recyclage à froid</w:t>
      </w:r>
    </w:p>
    <w:p w14:paraId="772D562A" w14:textId="77777777" w:rsidR="009355BC" w:rsidRPr="00BB3CC3" w:rsidRDefault="009355BC" w:rsidP="009355BC">
      <w:pPr>
        <w:spacing w:line="280" w:lineRule="atLeast"/>
        <w:jc w:val="both"/>
        <w:rPr>
          <w:rFonts w:eastAsia="Times New Roman"/>
          <w:iCs/>
          <w:sz w:val="22"/>
          <w:szCs w:val="22"/>
        </w:rPr>
      </w:pPr>
    </w:p>
    <w:p w14:paraId="214F838B" w14:textId="2BFA5BC5" w:rsidR="009355BC" w:rsidRPr="00BB3CC3" w:rsidRDefault="009355BC" w:rsidP="009355BC">
      <w:pPr>
        <w:jc w:val="both"/>
        <w:rPr>
          <w:rFonts w:eastAsia="Times New Roman"/>
          <w:b/>
          <w:bCs/>
          <w:sz w:val="28"/>
          <w:szCs w:val="28"/>
        </w:rPr>
      </w:pPr>
      <w:r>
        <w:rPr>
          <w:b/>
          <w:sz w:val="22"/>
        </w:rPr>
        <w:t>Le ministère nigérian des travaux publics et du logement a confié à Julius Berger Nigeria Plc (JBN)</w:t>
      </w:r>
      <w:r>
        <w:rPr>
          <w:b/>
          <w:sz w:val="28"/>
        </w:rPr>
        <w:t xml:space="preserve"> </w:t>
      </w:r>
      <w:r>
        <w:rPr>
          <w:b/>
          <w:sz w:val="22"/>
        </w:rPr>
        <w:t>l’extension du contrat de développement de l’autoroute A2 à double voie. La route relie la capitale Abuja, au centre du pays, à Kano, dans le nord du Nigeria. L’autoroute qui était jusqu’alors en cours de rénovation, est désormais entièrement reconstruite, avec un décaissement total, y compris de la bande d’arrêt d’urgence.</w:t>
      </w:r>
    </w:p>
    <w:p w14:paraId="02762FC3" w14:textId="77777777" w:rsidR="009355BC" w:rsidRPr="00BB3CC3" w:rsidRDefault="009355BC" w:rsidP="009355BC">
      <w:pPr>
        <w:spacing w:line="280" w:lineRule="atLeast"/>
        <w:jc w:val="both"/>
        <w:rPr>
          <w:rFonts w:eastAsia="Times New Roman"/>
          <w:iCs/>
          <w:sz w:val="22"/>
          <w:szCs w:val="22"/>
        </w:rPr>
      </w:pPr>
    </w:p>
    <w:p w14:paraId="0B12EB2A" w14:textId="77777777" w:rsidR="009355BC" w:rsidRPr="00BB3CC3" w:rsidRDefault="009355BC" w:rsidP="009355BC">
      <w:pPr>
        <w:spacing w:line="276" w:lineRule="auto"/>
        <w:jc w:val="both"/>
        <w:rPr>
          <w:rFonts w:eastAsia="Times New Roman"/>
          <w:b/>
          <w:bCs/>
          <w:color w:val="000000" w:themeColor="text1"/>
          <w:sz w:val="22"/>
          <w:szCs w:val="22"/>
        </w:rPr>
      </w:pPr>
      <w:r>
        <w:rPr>
          <w:b/>
          <w:color w:val="000000" w:themeColor="text1"/>
          <w:sz w:val="22"/>
        </w:rPr>
        <w:t>Un projet de grand intérêt économique</w:t>
      </w:r>
    </w:p>
    <w:p w14:paraId="6FD45AE3" w14:textId="77777777" w:rsidR="009355BC" w:rsidRPr="00BB3CC3" w:rsidRDefault="009355BC" w:rsidP="009355BC">
      <w:pPr>
        <w:spacing w:line="276" w:lineRule="auto"/>
        <w:jc w:val="both"/>
        <w:rPr>
          <w:rFonts w:eastAsia="Times New Roman"/>
          <w:color w:val="000000" w:themeColor="text1"/>
          <w:sz w:val="22"/>
          <w:szCs w:val="22"/>
        </w:rPr>
      </w:pPr>
      <w:r>
        <w:rPr>
          <w:color w:val="000000" w:themeColor="text1"/>
          <w:sz w:val="22"/>
        </w:rPr>
        <w:t>La réhabilitation de l’autoroute Abuja-Kaduna-Zaria-Kano (AKR) entre dans le cadre du « Trans-</w:t>
      </w:r>
      <w:proofErr w:type="spellStart"/>
      <w:r>
        <w:rPr>
          <w:color w:val="000000" w:themeColor="text1"/>
          <w:sz w:val="22"/>
        </w:rPr>
        <w:t>African</w:t>
      </w:r>
      <w:proofErr w:type="spellEnd"/>
      <w:r>
        <w:rPr>
          <w:color w:val="000000" w:themeColor="text1"/>
          <w:sz w:val="22"/>
        </w:rPr>
        <w:t xml:space="preserve"> Highway », un système de projets de routes transcontinentales. Le but est de promouvoir l’économie africaine par le développement d’infrastructures routières commerciales.</w:t>
      </w:r>
      <w:r>
        <w:rPr>
          <w:color w:val="000000" w:themeColor="text1"/>
        </w:rPr>
        <w:t xml:space="preserve"> </w:t>
      </w:r>
      <w:r>
        <w:rPr>
          <w:color w:val="000000" w:themeColor="text1"/>
          <w:sz w:val="22"/>
        </w:rPr>
        <w:t>L’idée étant d’améliorer la liaison entre le nord qui est économiquement plus faible et la région du sud, à l’économie plus prospère.</w:t>
      </w:r>
    </w:p>
    <w:p w14:paraId="40AFA2E1" w14:textId="77777777" w:rsidR="009355BC" w:rsidRPr="00BB3CC3" w:rsidRDefault="009355BC" w:rsidP="009355BC">
      <w:pPr>
        <w:spacing w:line="276" w:lineRule="auto"/>
        <w:jc w:val="both"/>
        <w:rPr>
          <w:rFonts w:eastAsia="Times New Roman"/>
          <w:b/>
          <w:bCs/>
          <w:sz w:val="22"/>
          <w:szCs w:val="22"/>
        </w:rPr>
      </w:pPr>
    </w:p>
    <w:p w14:paraId="2D085600" w14:textId="77777777" w:rsidR="009355BC" w:rsidRPr="00BB3CC3" w:rsidRDefault="009355BC" w:rsidP="009355BC">
      <w:pPr>
        <w:spacing w:line="276" w:lineRule="auto"/>
        <w:jc w:val="both"/>
        <w:rPr>
          <w:rFonts w:eastAsia="Times New Roman"/>
          <w:b/>
          <w:bCs/>
          <w:color w:val="000000" w:themeColor="text1"/>
          <w:sz w:val="22"/>
          <w:szCs w:val="22"/>
        </w:rPr>
      </w:pPr>
      <w:r>
        <w:rPr>
          <w:b/>
          <w:color w:val="000000" w:themeColor="text1"/>
          <w:sz w:val="22"/>
        </w:rPr>
        <w:t>Les technologies écologiques à l’honneur</w:t>
      </w:r>
    </w:p>
    <w:p w14:paraId="33D803AF" w14:textId="77777777" w:rsidR="009355BC" w:rsidRPr="00BB3CC3" w:rsidRDefault="009355BC" w:rsidP="009355BC">
      <w:pPr>
        <w:spacing w:line="276" w:lineRule="auto"/>
        <w:jc w:val="both"/>
        <w:rPr>
          <w:rFonts w:eastAsia="Times New Roman"/>
          <w:sz w:val="22"/>
          <w:szCs w:val="22"/>
        </w:rPr>
      </w:pPr>
      <w:r>
        <w:rPr>
          <w:color w:val="000000" w:themeColor="text1"/>
          <w:sz w:val="22"/>
        </w:rPr>
        <w:t>Le Nigeria, qui constitue la plus grande économie nationale africaine, attache toujours plus d’importance aux technologies écologiques pour le</w:t>
      </w:r>
      <w:r>
        <w:rPr>
          <w:sz w:val="22"/>
        </w:rPr>
        <w:t xml:space="preserve"> développement de ses infrastructures. Dès le départ, le recyclage à froid, une technologie écologique, a été envisagée comme alternative aux méthodes de construction conventionnelles. En proposant ce procédé, JBN s’est pour ainsi dire attribué le projet. Les travaux de réfection devraient s’achever au deuxième trimestre 2023.</w:t>
      </w:r>
      <w:r>
        <w:t xml:space="preserve"> </w:t>
      </w:r>
      <w:r>
        <w:rPr>
          <w:sz w:val="22"/>
        </w:rPr>
        <w:t>Le</w:t>
      </w:r>
      <w:r>
        <w:t xml:space="preserve"> </w:t>
      </w:r>
      <w:r>
        <w:rPr>
          <w:sz w:val="22"/>
        </w:rPr>
        <w:t>délai de finalisation pour les ouvrages spéciaux est prévu pour le début du mois de mai 2024. Malgré ce planning serré, JBN reste optimiste et est convaincu que le chantier pourra être livré dans les délais grâce au choix d’un procédé rapide, celui du recyclage à froid in plant.</w:t>
      </w:r>
    </w:p>
    <w:p w14:paraId="01122792" w14:textId="77777777" w:rsidR="009355BC" w:rsidRPr="00BB3CC3" w:rsidRDefault="009355BC" w:rsidP="009355BC">
      <w:pPr>
        <w:spacing w:line="276" w:lineRule="auto"/>
        <w:jc w:val="both"/>
        <w:rPr>
          <w:rFonts w:eastAsia="Times New Roman"/>
          <w:b/>
          <w:bCs/>
          <w:sz w:val="22"/>
          <w:szCs w:val="22"/>
        </w:rPr>
      </w:pPr>
    </w:p>
    <w:p w14:paraId="3084BB18" w14:textId="77777777" w:rsidR="009355BC" w:rsidRPr="00BB3CC3" w:rsidRDefault="009355BC" w:rsidP="009355BC">
      <w:pPr>
        <w:spacing w:line="276" w:lineRule="auto"/>
        <w:rPr>
          <w:rFonts w:eastAsia="Times New Roman"/>
          <w:b/>
          <w:bCs/>
          <w:color w:val="000000" w:themeColor="text1"/>
          <w:sz w:val="22"/>
          <w:szCs w:val="22"/>
        </w:rPr>
      </w:pPr>
      <w:r>
        <w:rPr>
          <w:b/>
          <w:color w:val="000000" w:themeColor="text1"/>
          <w:sz w:val="22"/>
        </w:rPr>
        <w:t>Procédé de recyclage à froid avec de la mousse de bitume – une innovation pour la construction routière nigériane</w:t>
      </w:r>
    </w:p>
    <w:p w14:paraId="6F0A6441" w14:textId="77777777" w:rsidR="009355BC" w:rsidRPr="00BB3CC3" w:rsidRDefault="009355BC" w:rsidP="009355BC">
      <w:pPr>
        <w:spacing w:line="276" w:lineRule="auto"/>
        <w:jc w:val="both"/>
        <w:rPr>
          <w:rFonts w:eastAsia="Times New Roman"/>
          <w:sz w:val="22"/>
          <w:szCs w:val="22"/>
        </w:rPr>
      </w:pPr>
      <w:r>
        <w:rPr>
          <w:sz w:val="22"/>
        </w:rPr>
        <w:t xml:space="preserve">Dans le procédé de recyclage à froid, de la mousse de bitume est travaillée avec le matériau de construction existant soit « in situ » c’est-à-dire par un recycleur à froid directement sur le chantier, soit « in plant » avec un mélangeur mobile de recyclage à froid installé à proximité du chantier. Dans le cadre de ce projet colossal réalisé en chantier itinérant, l’entreprise contractante a opté pour la méthode « in plant ». Le nouvel enrobé bitumeux ainsi obtenu est appelé MSB (matériau stabilisé au bitume). Après la pose et le compactage, le MSB présente une portance élevée et durable. Le MSB offre également des avantages liés à son comportement sur le long terme : les mousses de bitume qui sont incorporées assurent une adhérence ponctuelle dans la </w:t>
      </w:r>
      <w:r>
        <w:rPr>
          <w:sz w:val="22"/>
        </w:rPr>
        <w:lastRenderedPageBreak/>
        <w:t>couche recyclée à froid, empêchant la formation de fissures. Les couches durables ainsi retraitées forment dans le corps de chaussée une assise optimale pour la pose d’enrobé finale sur une épaisseur ou un nombre de couches réduits.</w:t>
      </w:r>
    </w:p>
    <w:p w14:paraId="7CB50377" w14:textId="77777777" w:rsidR="009355BC" w:rsidRPr="00BB3CC3" w:rsidRDefault="009355BC" w:rsidP="009355BC">
      <w:pPr>
        <w:spacing w:line="276" w:lineRule="auto"/>
        <w:jc w:val="both"/>
        <w:rPr>
          <w:rFonts w:eastAsia="Times New Roman"/>
          <w:sz w:val="22"/>
          <w:szCs w:val="22"/>
        </w:rPr>
      </w:pPr>
    </w:p>
    <w:p w14:paraId="4752D967" w14:textId="02B2E627" w:rsidR="009355BC" w:rsidRPr="00BB3CC3" w:rsidRDefault="009355BC" w:rsidP="009355BC">
      <w:pPr>
        <w:spacing w:line="276" w:lineRule="auto"/>
        <w:jc w:val="both"/>
        <w:rPr>
          <w:rFonts w:eastAsia="Times New Roman"/>
          <w:sz w:val="22"/>
          <w:szCs w:val="22"/>
        </w:rPr>
      </w:pPr>
      <w:r>
        <w:rPr>
          <w:sz w:val="22"/>
        </w:rPr>
        <w:t xml:space="preserve">Julius Berger mise sur ce procédé pour le long terme et y voit une réelle innovation pour les infrastructures routières du Nigeria : « Le recyclage à froid garantit l’utilisation optimale du matériau existant et ainsi la préservation des ressources. C’est pourquoi nous avons été la première entreprise au Nigeria à </w:t>
      </w:r>
      <w:proofErr w:type="gramStart"/>
      <w:r>
        <w:rPr>
          <w:sz w:val="22"/>
        </w:rPr>
        <w:t>demander à ce</w:t>
      </w:r>
      <w:proofErr w:type="gramEnd"/>
      <w:r>
        <w:rPr>
          <w:sz w:val="22"/>
        </w:rPr>
        <w:t xml:space="preserve"> que soit utilisé le potentiel offert par cette technologie, pour nous et nos maîtres d’ouvrage », explique le directeur de projet, Benjamin Bott.</w:t>
      </w:r>
    </w:p>
    <w:p w14:paraId="506B10EB" w14:textId="77777777" w:rsidR="009355BC" w:rsidRPr="00BB3CC3" w:rsidRDefault="009355BC" w:rsidP="009355BC">
      <w:pPr>
        <w:spacing w:line="276" w:lineRule="auto"/>
        <w:jc w:val="both"/>
        <w:rPr>
          <w:rFonts w:eastAsia="Times New Roman"/>
          <w:sz w:val="22"/>
          <w:szCs w:val="22"/>
        </w:rPr>
      </w:pPr>
    </w:p>
    <w:p w14:paraId="3674F2AB" w14:textId="77777777" w:rsidR="009355BC" w:rsidRPr="00BB3CC3" w:rsidRDefault="009355BC" w:rsidP="009355BC">
      <w:pPr>
        <w:rPr>
          <w:rFonts w:eastAsia="Times New Roman"/>
          <w:b/>
          <w:bCs/>
          <w:sz w:val="22"/>
          <w:szCs w:val="22"/>
        </w:rPr>
      </w:pPr>
      <w:r>
        <w:rPr>
          <w:b/>
          <w:sz w:val="22"/>
        </w:rPr>
        <w:t>Agrandissement de la flotte de machines du Wirtgen Group</w:t>
      </w:r>
    </w:p>
    <w:p w14:paraId="3F8E6828" w14:textId="77777777" w:rsidR="009355BC" w:rsidRPr="00BB3CC3" w:rsidRDefault="009355BC" w:rsidP="009355BC">
      <w:pPr>
        <w:spacing w:line="276" w:lineRule="auto"/>
        <w:jc w:val="both"/>
        <w:rPr>
          <w:rFonts w:eastAsia="Times New Roman"/>
          <w:sz w:val="22"/>
          <w:szCs w:val="22"/>
        </w:rPr>
      </w:pPr>
      <w:r>
        <w:rPr>
          <w:sz w:val="22"/>
        </w:rPr>
        <w:t xml:space="preserve">Au début du projet, deux flottes complètes de recyclage à froid et de pose, réunissant au total 45 engins, avaient été commandées. Elles comprenaient notamment des fraiseuses grande capacité, des stabilisatrices de sols et des recycleurs à froid Wirtgen, des épandeurs </w:t>
      </w:r>
      <w:proofErr w:type="spellStart"/>
      <w:r>
        <w:rPr>
          <w:sz w:val="22"/>
        </w:rPr>
        <w:t>Streumaster</w:t>
      </w:r>
      <w:proofErr w:type="spellEnd"/>
      <w:r>
        <w:rPr>
          <w:sz w:val="22"/>
        </w:rPr>
        <w:t xml:space="preserve">, des broyeurs à percussion mobiles </w:t>
      </w:r>
      <w:proofErr w:type="spellStart"/>
      <w:r>
        <w:rPr>
          <w:sz w:val="22"/>
        </w:rPr>
        <w:t>Kleemann</w:t>
      </w:r>
      <w:proofErr w:type="spellEnd"/>
      <w:r>
        <w:rPr>
          <w:sz w:val="22"/>
        </w:rPr>
        <w:t xml:space="preserve"> et des mélangeurs à froid Wirtgen, ainsi que des finisseurs et alimentateurs </w:t>
      </w:r>
      <w:proofErr w:type="spellStart"/>
      <w:r>
        <w:rPr>
          <w:sz w:val="22"/>
        </w:rPr>
        <w:t>Vögele</w:t>
      </w:r>
      <w:proofErr w:type="spellEnd"/>
      <w:r>
        <w:rPr>
          <w:sz w:val="22"/>
        </w:rPr>
        <w:t xml:space="preserve"> et des compacteurs Hamm. Dans le cadre de l’extension du projet, 30 machines supplémentaires ont été livrées au Nigeria, « car par le passé, les machines nous ont convaincus par leur efficacité et leur durabilité. Sans compter également l’excellent service après-vente ici au Nigeria. Il contribue considérablement à la haute disponibilité des machines et est essentiel au bon déroulement de ce gigantesque projet », indique M. Bott. </w:t>
      </w:r>
    </w:p>
    <w:p w14:paraId="2AFA24E5" w14:textId="77777777" w:rsidR="00375BA8" w:rsidRDefault="00375BA8" w:rsidP="009355BC">
      <w:pPr>
        <w:suppressAutoHyphens/>
        <w:spacing w:line="276" w:lineRule="auto"/>
        <w:jc w:val="both"/>
        <w:rPr>
          <w:rFonts w:eastAsia="Times New Roman"/>
          <w:sz w:val="22"/>
          <w:szCs w:val="22"/>
        </w:rPr>
      </w:pPr>
    </w:p>
    <w:p w14:paraId="5E5ED0E6" w14:textId="0E2B376E" w:rsidR="009355BC" w:rsidRPr="00BB3CC3" w:rsidRDefault="009355BC" w:rsidP="009355BC">
      <w:pPr>
        <w:suppressAutoHyphens/>
        <w:spacing w:line="276" w:lineRule="auto"/>
        <w:jc w:val="both"/>
        <w:rPr>
          <w:rFonts w:eastAsia="Arial Unicode MS" w:cs="Lucida Sans"/>
          <w:b/>
          <w:bCs/>
          <w:color w:val="000000"/>
          <w:kern w:val="2"/>
          <w:sz w:val="22"/>
          <w:szCs w:val="22"/>
        </w:rPr>
      </w:pPr>
      <w:r>
        <w:rPr>
          <w:b/>
          <w:color w:val="000000"/>
          <w:sz w:val="22"/>
        </w:rPr>
        <w:t>Coûts de cycle de vie bas de l’AKR grâce à un procédé rentable</w:t>
      </w:r>
    </w:p>
    <w:p w14:paraId="7680EAC2" w14:textId="344FB38F" w:rsidR="009355BC" w:rsidRPr="00BB3CC3" w:rsidRDefault="009355BC" w:rsidP="009355BC">
      <w:pPr>
        <w:suppressAutoHyphens/>
        <w:spacing w:line="276" w:lineRule="auto"/>
        <w:jc w:val="both"/>
        <w:rPr>
          <w:rFonts w:eastAsia="Arial Unicode MS" w:cs="Lucida Sans"/>
          <w:color w:val="000000"/>
          <w:kern w:val="2"/>
          <w:sz w:val="22"/>
          <w:szCs w:val="22"/>
        </w:rPr>
      </w:pPr>
      <w:r>
        <w:rPr>
          <w:color w:val="000000"/>
          <w:sz w:val="22"/>
        </w:rPr>
        <w:t>Même après l’extension du projet, le bilan écologique du chantier est resté excellent.</w:t>
      </w:r>
      <w:r>
        <w:t xml:space="preserve"> </w:t>
      </w:r>
      <w:r>
        <w:rPr>
          <w:color w:val="000000"/>
          <w:sz w:val="22"/>
        </w:rPr>
        <w:t xml:space="preserve">Le procédé a pour avantage majeur d’offrir un énorme potentiel d’économie d’énergie lors du retraitement du matériau. Les matériaux retraités n’ont pas besoin d’être séchés ni chauffés, ce qui se traduit par une économie de 10 à 12 litres de carburant par tonne par rapport aux méthodes de réfection conventionnelles. Le retraitement de la </w:t>
      </w:r>
      <w:proofErr w:type="spellStart"/>
      <w:proofErr w:type="gramStart"/>
      <w:r>
        <w:rPr>
          <w:color w:val="000000"/>
          <w:sz w:val="22"/>
        </w:rPr>
        <w:t>quasi totalité</w:t>
      </w:r>
      <w:proofErr w:type="spellEnd"/>
      <w:proofErr w:type="gramEnd"/>
      <w:r>
        <w:rPr>
          <w:color w:val="000000"/>
          <w:sz w:val="22"/>
        </w:rPr>
        <w:t xml:space="preserve"> de la couche de surface assure également une réduction allant jusqu’à 90 % des transports de matériau. Enfin, le procédé permet de réduire de 90 % l’utilisation de ressources et de jusqu’à 100 % l’élimination de matériaux. </w:t>
      </w:r>
    </w:p>
    <w:p w14:paraId="4ABB0132" w14:textId="77777777" w:rsidR="009355BC" w:rsidRPr="00BB3CC3" w:rsidRDefault="009355BC" w:rsidP="009355BC">
      <w:pPr>
        <w:suppressAutoHyphens/>
        <w:spacing w:line="276" w:lineRule="auto"/>
        <w:jc w:val="both"/>
        <w:rPr>
          <w:rFonts w:eastAsia="Arial Unicode MS" w:cs="Lucida Sans"/>
          <w:color w:val="000000"/>
          <w:kern w:val="2"/>
          <w:sz w:val="22"/>
          <w:szCs w:val="22"/>
          <w:lang w:eastAsia="zh-CN" w:bidi="hi-IN"/>
        </w:rPr>
      </w:pPr>
    </w:p>
    <w:p w14:paraId="0329CA96" w14:textId="68E70C97" w:rsidR="009355BC" w:rsidRPr="00BB3CC3" w:rsidRDefault="009355BC" w:rsidP="009355BC">
      <w:pPr>
        <w:spacing w:line="276" w:lineRule="auto"/>
        <w:jc w:val="both"/>
        <w:rPr>
          <w:rFonts w:eastAsia="Arial Unicode MS" w:cs="Lucida Sans"/>
          <w:color w:val="000000"/>
          <w:kern w:val="2"/>
          <w:sz w:val="22"/>
          <w:szCs w:val="22"/>
        </w:rPr>
      </w:pPr>
      <w:r>
        <w:rPr>
          <w:color w:val="000000"/>
          <w:sz w:val="22"/>
        </w:rPr>
        <w:t>La consommation de carburant et les émissions de CO</w:t>
      </w:r>
      <w:r>
        <w:rPr>
          <w:color w:val="000000"/>
          <w:sz w:val="22"/>
          <w:vertAlign w:val="subscript"/>
        </w:rPr>
        <w:t>2</w:t>
      </w:r>
      <w:r>
        <w:rPr>
          <w:color w:val="000000"/>
          <w:sz w:val="22"/>
        </w:rPr>
        <w:t xml:space="preserve"> s’en trouvent ainsi considérablement réduites. La méthode du recyclage à froid permet avant tout aussi d’économiser jusqu’à 50 % de liants, qui représentent toujours le plus grand facteur de coûts dans la réfection des </w:t>
      </w:r>
      <w:r>
        <w:rPr>
          <w:color w:val="000000" w:themeColor="text1"/>
          <w:sz w:val="22"/>
        </w:rPr>
        <w:t>routes.</w:t>
      </w:r>
      <w:r>
        <w:rPr>
          <w:color w:val="000000"/>
          <w:sz w:val="22"/>
        </w:rPr>
        <w:t xml:space="preserve"> Grâce aux propriétés particulières du MSB, la technologie du recyclage à froid est synonyme de coûts très bas pendant toute la durée d’utilisation des routes – comme c’est le cas de l’autoroute Abuja-Kaduna-Zaria au Nigeria.</w:t>
      </w:r>
    </w:p>
    <w:p w14:paraId="754D93C9" w14:textId="77777777" w:rsidR="009355BC" w:rsidRPr="00BB3CC3" w:rsidRDefault="009355BC" w:rsidP="009355BC">
      <w:pPr>
        <w:spacing w:line="276" w:lineRule="auto"/>
        <w:jc w:val="both"/>
        <w:rPr>
          <w:rFonts w:eastAsia="Arial Unicode MS" w:cs="Lucida Sans"/>
          <w:color w:val="000000"/>
          <w:kern w:val="2"/>
          <w:sz w:val="22"/>
          <w:szCs w:val="22"/>
          <w:lang w:eastAsia="zh-CN" w:bidi="hi-IN"/>
        </w:rPr>
      </w:pPr>
    </w:p>
    <w:p w14:paraId="3C2B882C" w14:textId="77777777" w:rsidR="009355BC" w:rsidRPr="00BB3CC3" w:rsidRDefault="009355BC" w:rsidP="009355BC">
      <w:pPr>
        <w:spacing w:line="276" w:lineRule="auto"/>
        <w:jc w:val="both"/>
        <w:rPr>
          <w:rFonts w:eastAsia="Times New Roman"/>
          <w:sz w:val="22"/>
          <w:szCs w:val="22"/>
        </w:rPr>
      </w:pPr>
    </w:p>
    <w:p w14:paraId="6D13DE04" w14:textId="77777777" w:rsidR="009355BC" w:rsidRPr="00BB3CC3" w:rsidRDefault="009355BC" w:rsidP="009355BC">
      <w:pPr>
        <w:spacing w:line="276" w:lineRule="auto"/>
        <w:jc w:val="both"/>
        <w:rPr>
          <w:rFonts w:eastAsia="Times New Roman"/>
          <w:sz w:val="22"/>
          <w:szCs w:val="22"/>
        </w:rPr>
      </w:pPr>
    </w:p>
    <w:p w14:paraId="2E393E15" w14:textId="77777777" w:rsidR="009355BC" w:rsidRPr="00BB3CC3" w:rsidRDefault="009355BC" w:rsidP="009355BC">
      <w:pPr>
        <w:rPr>
          <w:rFonts w:eastAsia="Times New Roman" w:cs="Arial"/>
          <w:b/>
          <w:sz w:val="22"/>
          <w:szCs w:val="22"/>
        </w:rPr>
      </w:pPr>
      <w:r>
        <w:br w:type="page"/>
      </w:r>
    </w:p>
    <w:p w14:paraId="0DA8AD71" w14:textId="77777777" w:rsidR="00B65B08" w:rsidRPr="00D23E57" w:rsidRDefault="00B65B08" w:rsidP="00B65B08">
      <w:pPr>
        <w:pStyle w:val="HeadlineFotos"/>
      </w:pPr>
      <w:r>
        <w:rPr>
          <w:caps w:val="0"/>
        </w:rPr>
        <w:lastRenderedPageBreak/>
        <w:t>Photos </w:t>
      </w:r>
      <w:r>
        <w:t>:</w:t>
      </w:r>
    </w:p>
    <w:tbl>
      <w:tblPr>
        <w:tblStyle w:val="Basic"/>
        <w:tblW w:w="0" w:type="auto"/>
        <w:tblCellSpacing w:w="71" w:type="dxa"/>
        <w:tblLook w:val="04A0" w:firstRow="1" w:lastRow="0" w:firstColumn="1" w:lastColumn="0" w:noHBand="0" w:noVBand="1"/>
      </w:tblPr>
      <w:tblGrid>
        <w:gridCol w:w="4963"/>
        <w:gridCol w:w="4561"/>
      </w:tblGrid>
      <w:tr w:rsidR="00B65B08" w:rsidRPr="00D23E57" w14:paraId="62478B77"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top w:val="nil"/>
              <w:left w:val="nil"/>
              <w:bottom w:val="nil"/>
              <w:right w:val="single" w:sz="4" w:space="0" w:color="auto"/>
            </w:tcBorders>
            <w:hideMark/>
          </w:tcPr>
          <w:p w14:paraId="1B128C9D" w14:textId="77777777" w:rsidR="00B65B08" w:rsidRPr="00D23E57" w:rsidRDefault="00B65B08" w:rsidP="007767D4">
            <w:r>
              <w:rPr>
                <w:b/>
                <w:noProof/>
              </w:rPr>
              <w:drawing>
                <wp:inline distT="0" distB="0" distL="0" distR="0" wp14:anchorId="7CF3E165" wp14:editId="13B410D4">
                  <wp:extent cx="2771775" cy="1847850"/>
                  <wp:effectExtent l="0" t="0" r="9525" b="0"/>
                  <wp:docPr id="9" name="Grafik 9" descr="Ein Bild, das Himmel, Boden, draußen, Schmu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immel, Boden, draußen, Schmutz enthält.&#10;&#10;Automatisch generierte Beschreibu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771775" cy="1847850"/>
                          </a:xfrm>
                          <a:prstGeom prst="rect">
                            <a:avLst/>
                          </a:prstGeom>
                          <a:noFill/>
                          <a:ln>
                            <a:noFill/>
                          </a:ln>
                        </pic:spPr>
                      </pic:pic>
                    </a:graphicData>
                  </a:graphic>
                </wp:inline>
              </w:drawing>
            </w:r>
          </w:p>
        </w:tc>
        <w:tc>
          <w:tcPr>
            <w:tcW w:w="4832" w:type="dxa"/>
            <w:hideMark/>
          </w:tcPr>
          <w:p w14:paraId="31A91E3B" w14:textId="77777777" w:rsidR="00B65B08" w:rsidRPr="002D3CCE" w:rsidRDefault="00B65B08" w:rsidP="007767D4">
            <w:pPr>
              <w:pStyle w:val="berschrift3"/>
              <w:outlineLvl w:val="2"/>
            </w:pPr>
            <w:r>
              <w:t>WG_photo_Jobsite-AKR-Project_00033_PR</w:t>
            </w:r>
          </w:p>
          <w:p w14:paraId="3FF983F1" w14:textId="77777777" w:rsidR="00B65B08" w:rsidRPr="00D23E57" w:rsidRDefault="00B65B08" w:rsidP="007767D4">
            <w:pPr>
              <w:pStyle w:val="Text"/>
              <w:jc w:val="left"/>
              <w:rPr>
                <w:sz w:val="20"/>
                <w:szCs w:val="20"/>
              </w:rPr>
            </w:pPr>
            <w:r>
              <w:rPr>
                <w:sz w:val="20"/>
              </w:rPr>
              <w:t>Les stabilisatrices de sols de Wirtgen incorporent dans l’assise, à la profondeur souhaitée et de manière homogène, le ciment préalablement épandu. À l’aide d’une rampe de pulvérisation, de l’eau est injectée automatiquement à la quantité requise, en fonction de la vitesse d’avance.</w:t>
            </w:r>
          </w:p>
        </w:tc>
      </w:tr>
    </w:tbl>
    <w:p w14:paraId="6DBE490B"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68"/>
        <w:gridCol w:w="4556"/>
      </w:tblGrid>
      <w:tr w:rsidR="00B65B08" w:rsidRPr="00D23E57" w14:paraId="671CDA03"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top w:val="nil"/>
              <w:left w:val="nil"/>
              <w:bottom w:val="nil"/>
              <w:right w:val="single" w:sz="4" w:space="0" w:color="auto"/>
            </w:tcBorders>
            <w:hideMark/>
          </w:tcPr>
          <w:p w14:paraId="38050BA8" w14:textId="77777777" w:rsidR="00B65B08" w:rsidRPr="00D23E57" w:rsidRDefault="00B65B08" w:rsidP="007767D4">
            <w:r>
              <w:rPr>
                <w:b/>
                <w:noProof/>
              </w:rPr>
              <w:drawing>
                <wp:inline distT="0" distB="0" distL="0" distR="0" wp14:anchorId="26E71E91" wp14:editId="1BA0AD3D">
                  <wp:extent cx="2800350" cy="1847850"/>
                  <wp:effectExtent l="0" t="0" r="0" b="0"/>
                  <wp:docPr id="8" name="Grafik 8" descr="Ein Bild, das draußen, Himmel, Boden, Str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außen, Himmel, Boden, Strand enthält.&#10;&#10;Automatisch generierte Beschreibung"/>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4343" w:type="dxa"/>
            <w:hideMark/>
          </w:tcPr>
          <w:p w14:paraId="349CEBCC" w14:textId="77777777" w:rsidR="00B65B08" w:rsidRPr="00D23E57" w:rsidRDefault="00B65B08" w:rsidP="007767D4">
            <w:pPr>
              <w:pStyle w:val="berschrift3"/>
              <w:outlineLvl w:val="2"/>
            </w:pPr>
            <w:r>
              <w:t>WG_photo_Jobsite-AKR-Project_00022_PR</w:t>
            </w:r>
          </w:p>
          <w:p w14:paraId="030EBAB1" w14:textId="04C7D70B" w:rsidR="00B65B08" w:rsidRPr="00D23E57" w:rsidRDefault="00B65B08" w:rsidP="007767D4">
            <w:pPr>
              <w:pStyle w:val="Text"/>
              <w:jc w:val="left"/>
              <w:rPr>
                <w:sz w:val="20"/>
                <w:szCs w:val="20"/>
              </w:rPr>
            </w:pPr>
            <w:r>
              <w:rPr>
                <w:sz w:val="20"/>
              </w:rPr>
              <w:t xml:space="preserve">Un travail d’équipe bien rodé : le broyeur à percussion MOBIREX MR 110Z EVO2 de </w:t>
            </w:r>
            <w:proofErr w:type="spellStart"/>
            <w:r>
              <w:rPr>
                <w:sz w:val="20"/>
              </w:rPr>
              <w:t>Kleemann</w:t>
            </w:r>
            <w:proofErr w:type="spellEnd"/>
            <w:r>
              <w:rPr>
                <w:sz w:val="20"/>
              </w:rPr>
              <w:t xml:space="preserve"> réduit les </w:t>
            </w:r>
            <w:proofErr w:type="spellStart"/>
            <w:r>
              <w:rPr>
                <w:sz w:val="20"/>
              </w:rPr>
              <w:t>fraisats</w:t>
            </w:r>
            <w:proofErr w:type="spellEnd"/>
            <w:r>
              <w:rPr>
                <w:sz w:val="20"/>
              </w:rPr>
              <w:t xml:space="preserve"> à la granulométrie souhaitée. En parallèle, le KMA 220 retraite les </w:t>
            </w:r>
            <w:proofErr w:type="spellStart"/>
            <w:r>
              <w:rPr>
                <w:sz w:val="20"/>
              </w:rPr>
              <w:t>fraisats</w:t>
            </w:r>
            <w:proofErr w:type="spellEnd"/>
            <w:r>
              <w:rPr>
                <w:sz w:val="20"/>
              </w:rPr>
              <w:t xml:space="preserve"> broyés en un nouvel enrobé, qu’il charge directement dans le camion.</w:t>
            </w:r>
          </w:p>
        </w:tc>
      </w:tr>
    </w:tbl>
    <w:p w14:paraId="58E48A65" w14:textId="77777777" w:rsidR="00B65B08" w:rsidRDefault="00B65B08" w:rsidP="00B65B08">
      <w:pPr>
        <w:pStyle w:val="Text"/>
        <w:rPr>
          <w:sz w:val="20"/>
          <w:szCs w:val="20"/>
        </w:rPr>
      </w:pPr>
    </w:p>
    <w:p w14:paraId="529E2559"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05"/>
        <w:gridCol w:w="4161"/>
      </w:tblGrid>
      <w:tr w:rsidR="00B65B08" w:rsidRPr="00D23E57" w14:paraId="61E0824E"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692" w:type="dxa"/>
            <w:tcBorders>
              <w:top w:val="nil"/>
              <w:left w:val="nil"/>
              <w:bottom w:val="nil"/>
              <w:right w:val="single" w:sz="4" w:space="0" w:color="auto"/>
            </w:tcBorders>
          </w:tcPr>
          <w:p w14:paraId="180BAD50" w14:textId="77777777" w:rsidR="00B65B08" w:rsidRPr="00D23E57" w:rsidRDefault="00B65B08" w:rsidP="007767D4">
            <w:bookmarkStart w:id="0" w:name="_Hlk51743870"/>
            <w:r>
              <w:rPr>
                <w:b/>
                <w:noProof/>
              </w:rPr>
              <w:drawing>
                <wp:inline distT="0" distB="0" distL="0" distR="0" wp14:anchorId="246DAC59" wp14:editId="7E22AF82">
                  <wp:extent cx="2800350" cy="1847850"/>
                  <wp:effectExtent l="0" t="0" r="0" b="0"/>
                  <wp:docPr id="10" name="Grafik 10" descr="Ein Bild, das draußen, Himmel, LKW,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außen, Himmel, LKW, Boden enthält.&#10;&#10;Automatisch generierte Beschreibung"/>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3948" w:type="dxa"/>
          </w:tcPr>
          <w:p w14:paraId="130491B5" w14:textId="77777777" w:rsidR="00B65B08" w:rsidRPr="00D23E57" w:rsidRDefault="00B65B08" w:rsidP="007767D4">
            <w:pPr>
              <w:pStyle w:val="berschrift3"/>
              <w:outlineLvl w:val="2"/>
            </w:pPr>
            <w:r>
              <w:t>WG_photo_Jobsite-AKR-Project_00020_PR</w:t>
            </w:r>
          </w:p>
          <w:p w14:paraId="315696B6" w14:textId="77777777" w:rsidR="00B65B08" w:rsidRPr="00D23E57" w:rsidRDefault="00B65B08" w:rsidP="007767D4">
            <w:pPr>
              <w:pStyle w:val="Text"/>
              <w:jc w:val="left"/>
              <w:rPr>
                <w:sz w:val="20"/>
                <w:szCs w:val="20"/>
              </w:rPr>
            </w:pPr>
            <w:r>
              <w:rPr>
                <w:sz w:val="20"/>
              </w:rPr>
              <w:t xml:space="preserve">Des chargeurs sur roues alimentent le KMA 220 de Wirtgen en matériau broyé. Du ciment, de l’eau et du bitume sont incorporés aux quantités précises demandées par la formulation choisie. Le malaxeur continu à deux arbres produit ensuite </w:t>
            </w:r>
            <w:proofErr w:type="gramStart"/>
            <w:r>
              <w:rPr>
                <w:sz w:val="20"/>
              </w:rPr>
              <w:t>l’enrobé</w:t>
            </w:r>
            <w:proofErr w:type="gramEnd"/>
            <w:r>
              <w:rPr>
                <w:sz w:val="20"/>
              </w:rPr>
              <w:t xml:space="preserve"> sans aucun apport thermique.</w:t>
            </w:r>
          </w:p>
        </w:tc>
        <w:bookmarkEnd w:id="0"/>
      </w:tr>
    </w:tbl>
    <w:p w14:paraId="3181C33F" w14:textId="77777777" w:rsidR="00220479" w:rsidRDefault="00220479" w:rsidP="00220479"/>
    <w:p w14:paraId="41A4F4CA" w14:textId="3C0EB8C8" w:rsidR="007C55F3" w:rsidRDefault="007C55F3" w:rsidP="00961533">
      <w:pPr>
        <w:pStyle w:val="Text"/>
        <w:rPr>
          <w:i/>
          <w:u w:val="single"/>
        </w:rPr>
      </w:pPr>
    </w:p>
    <w:tbl>
      <w:tblPr>
        <w:tblStyle w:val="Basic"/>
        <w:tblW w:w="0" w:type="auto"/>
        <w:tblCellSpacing w:w="71" w:type="dxa"/>
        <w:tblLook w:val="04A0" w:firstRow="1" w:lastRow="0" w:firstColumn="1" w:lastColumn="0" w:noHBand="0" w:noVBand="1"/>
      </w:tblPr>
      <w:tblGrid>
        <w:gridCol w:w="4894"/>
        <w:gridCol w:w="4172"/>
      </w:tblGrid>
      <w:tr w:rsidR="007C55F3" w:rsidRPr="00D23E57" w14:paraId="16AF4682" w14:textId="77777777" w:rsidTr="00645835">
        <w:trPr>
          <w:cnfStyle w:val="100000000000" w:firstRow="1" w:lastRow="0" w:firstColumn="0" w:lastColumn="0" w:oddVBand="0" w:evenVBand="0" w:oddHBand="0" w:evenHBand="0" w:firstRowFirstColumn="0" w:firstRowLastColumn="0" w:lastRowFirstColumn="0" w:lastRowLastColumn="0"/>
          <w:tblCellSpacing w:w="71" w:type="dxa"/>
        </w:trPr>
        <w:tc>
          <w:tcPr>
            <w:tcW w:w="4681" w:type="dxa"/>
            <w:tcBorders>
              <w:top w:val="nil"/>
              <w:left w:val="nil"/>
              <w:bottom w:val="nil"/>
              <w:right w:val="single" w:sz="4" w:space="0" w:color="auto"/>
            </w:tcBorders>
            <w:hideMark/>
          </w:tcPr>
          <w:p w14:paraId="6B7F8461" w14:textId="77777777" w:rsidR="007C55F3" w:rsidRPr="00D23E57" w:rsidRDefault="007C55F3" w:rsidP="00645835">
            <w:r>
              <w:rPr>
                <w:b/>
                <w:noProof/>
              </w:rPr>
              <w:lastRenderedPageBreak/>
              <w:drawing>
                <wp:inline distT="0" distB="0" distL="0" distR="0" wp14:anchorId="5D309AC1" wp14:editId="2CADBA6D">
                  <wp:extent cx="2771775" cy="18478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1847850"/>
                          </a:xfrm>
                          <a:prstGeom prst="rect">
                            <a:avLst/>
                          </a:prstGeom>
                          <a:noFill/>
                          <a:ln>
                            <a:noFill/>
                          </a:ln>
                        </pic:spPr>
                      </pic:pic>
                    </a:graphicData>
                  </a:graphic>
                </wp:inline>
              </w:drawing>
            </w:r>
          </w:p>
        </w:tc>
        <w:tc>
          <w:tcPr>
            <w:tcW w:w="3959" w:type="dxa"/>
            <w:hideMark/>
          </w:tcPr>
          <w:p w14:paraId="160671AE" w14:textId="77777777" w:rsidR="007C55F3" w:rsidRPr="00D23E57" w:rsidRDefault="007C55F3" w:rsidP="00645835">
            <w:pPr>
              <w:pStyle w:val="berschrift3"/>
              <w:outlineLvl w:val="2"/>
            </w:pPr>
            <w:r>
              <w:t>WG_photo_Jobsite-AKR-Project_00031_PR</w:t>
            </w:r>
          </w:p>
          <w:p w14:paraId="1043DE2E" w14:textId="03ACEE05" w:rsidR="007C55F3" w:rsidRPr="00D23E57" w:rsidRDefault="007C55F3" w:rsidP="00645835">
            <w:pPr>
              <w:pStyle w:val="Text"/>
              <w:jc w:val="left"/>
              <w:rPr>
                <w:sz w:val="20"/>
                <w:szCs w:val="20"/>
              </w:rPr>
            </w:pPr>
            <w:r>
              <w:rPr>
                <w:sz w:val="20"/>
              </w:rPr>
              <w:t xml:space="preserve">Doté d’une énorme capacité de 16,4 t, l’alimentateur de </w:t>
            </w:r>
            <w:proofErr w:type="spellStart"/>
            <w:r>
              <w:rPr>
                <w:sz w:val="20"/>
              </w:rPr>
              <w:t>Vögele</w:t>
            </w:r>
            <w:proofErr w:type="spellEnd"/>
            <w:r>
              <w:rPr>
                <w:sz w:val="20"/>
              </w:rPr>
              <w:t xml:space="preserve"> assure l’alimentation ininterrompue du finisseur. Les compacteurs de Hamm ont compacté l’asphalte.</w:t>
            </w:r>
          </w:p>
        </w:tc>
      </w:tr>
    </w:tbl>
    <w:p w14:paraId="3DDC0092" w14:textId="77777777" w:rsidR="007C55F3" w:rsidRDefault="007C55F3" w:rsidP="00961533">
      <w:pPr>
        <w:pStyle w:val="Text"/>
        <w:rPr>
          <w:i/>
          <w:u w:val="single"/>
        </w:rPr>
      </w:pPr>
    </w:p>
    <w:p w14:paraId="068D08A3" w14:textId="704FBB94" w:rsidR="00961533" w:rsidRPr="00E04039" w:rsidRDefault="00961533" w:rsidP="00961533">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du Wirtgen Group.</w:t>
      </w:r>
    </w:p>
    <w:p w14:paraId="6B90F8F4" w14:textId="77777777" w:rsidR="00961533" w:rsidRPr="00690D7C" w:rsidRDefault="00961533" w:rsidP="00961533">
      <w:pPr>
        <w:rPr>
          <w:sz w:val="22"/>
        </w:rPr>
      </w:pPr>
    </w:p>
    <w:p w14:paraId="33AB9B22" w14:textId="77777777" w:rsidR="00961533" w:rsidRPr="00E04039" w:rsidRDefault="00961533" w:rsidP="00961533">
      <w:pPr>
        <w:pStyle w:val="Text"/>
      </w:pPr>
    </w:p>
    <w:tbl>
      <w:tblPr>
        <w:tblStyle w:val="Basic"/>
        <w:tblW w:w="9563" w:type="dxa"/>
        <w:tblLook w:val="04A0" w:firstRow="1" w:lastRow="0" w:firstColumn="1" w:lastColumn="0" w:noHBand="0" w:noVBand="1"/>
      </w:tblPr>
      <w:tblGrid>
        <w:gridCol w:w="4798"/>
        <w:gridCol w:w="4765"/>
      </w:tblGrid>
      <w:tr w:rsidR="00961533" w:rsidRPr="00E04039" w14:paraId="28D5D9C8" w14:textId="77777777" w:rsidTr="00B07D3F">
        <w:trPr>
          <w:cnfStyle w:val="100000000000" w:firstRow="1" w:lastRow="0" w:firstColumn="0" w:lastColumn="0" w:oddVBand="0" w:evenVBand="0" w:oddHBand="0" w:evenHBand="0" w:firstRowFirstColumn="0" w:firstRowLastColumn="0" w:lastRowFirstColumn="0" w:lastRowLastColumn="0"/>
          <w:trHeight w:val="4345"/>
        </w:trPr>
        <w:tc>
          <w:tcPr>
            <w:tcW w:w="4798" w:type="dxa"/>
            <w:tcBorders>
              <w:right w:val="single" w:sz="48" w:space="0" w:color="FFFFFF" w:themeColor="background1"/>
            </w:tcBorders>
          </w:tcPr>
          <w:p w14:paraId="596B2FCE" w14:textId="77777777" w:rsidR="00961533" w:rsidRPr="00E04039" w:rsidRDefault="00961533" w:rsidP="000E0EB7">
            <w:pPr>
              <w:pStyle w:val="HeadlineKontakte"/>
            </w:pPr>
            <w:r>
              <w:rPr>
                <w:caps w:val="0"/>
              </w:rPr>
              <w:t>VOUS OBTIENDREZ DE PLUS AMPLES</w:t>
            </w:r>
            <w:r>
              <w:t xml:space="preserve"> </w:t>
            </w:r>
          </w:p>
          <w:p w14:paraId="0015E47B" w14:textId="77777777" w:rsidR="00961533" w:rsidRPr="00E04039" w:rsidRDefault="00961533" w:rsidP="000E0EB7">
            <w:pPr>
              <w:pStyle w:val="HeadlineKontakte"/>
            </w:pPr>
            <w:r>
              <w:rPr>
                <w:caps w:val="0"/>
              </w:rPr>
              <w:t>INFORMATIONS AUPRÈS DE </w:t>
            </w:r>
            <w:r>
              <w:t>:</w:t>
            </w:r>
          </w:p>
          <w:p w14:paraId="62EAF2B6" w14:textId="77777777" w:rsidR="00961533" w:rsidRPr="00E04039" w:rsidRDefault="00961533" w:rsidP="000E0EB7">
            <w:pPr>
              <w:pStyle w:val="Text"/>
            </w:pPr>
            <w:r>
              <w:t>WIRTGEN GROUP</w:t>
            </w:r>
          </w:p>
          <w:p w14:paraId="6A6E1A84" w14:textId="77777777" w:rsidR="00961533" w:rsidRPr="00E04039" w:rsidRDefault="00961533" w:rsidP="000E0EB7">
            <w:pPr>
              <w:pStyle w:val="Text"/>
            </w:pPr>
            <w:r>
              <w:t>Public Relations</w:t>
            </w:r>
          </w:p>
          <w:p w14:paraId="1CFC1EBC" w14:textId="77777777" w:rsidR="00961533" w:rsidRPr="00E04039" w:rsidRDefault="00961533" w:rsidP="000E0EB7">
            <w:pPr>
              <w:pStyle w:val="Text"/>
            </w:pPr>
            <w:r>
              <w:t>Reinhard-Wirtgen-</w:t>
            </w:r>
            <w:proofErr w:type="spellStart"/>
            <w:r>
              <w:t>Straße</w:t>
            </w:r>
            <w:proofErr w:type="spellEnd"/>
            <w:r>
              <w:t xml:space="preserve"> 2</w:t>
            </w:r>
          </w:p>
          <w:p w14:paraId="0F33D18A" w14:textId="77777777" w:rsidR="00961533" w:rsidRPr="00E04039" w:rsidRDefault="00961533" w:rsidP="000E0EB7">
            <w:pPr>
              <w:pStyle w:val="Text"/>
            </w:pPr>
            <w:r>
              <w:t xml:space="preserve">53578 </w:t>
            </w:r>
            <w:proofErr w:type="spellStart"/>
            <w:r>
              <w:t>Windhagen</w:t>
            </w:r>
            <w:proofErr w:type="spellEnd"/>
          </w:p>
          <w:p w14:paraId="51FA5A4C" w14:textId="77777777" w:rsidR="00961533" w:rsidRPr="00E04039" w:rsidRDefault="00961533" w:rsidP="000E0EB7">
            <w:pPr>
              <w:pStyle w:val="Text"/>
            </w:pPr>
            <w:r>
              <w:t>Allemagne</w:t>
            </w:r>
          </w:p>
          <w:p w14:paraId="0C66F42C" w14:textId="77777777" w:rsidR="00961533" w:rsidRPr="00E04039" w:rsidRDefault="00961533" w:rsidP="000E0EB7">
            <w:pPr>
              <w:pStyle w:val="Text"/>
            </w:pPr>
          </w:p>
          <w:p w14:paraId="64B1F84D" w14:textId="77777777" w:rsidR="00961533" w:rsidRPr="00755AE0" w:rsidRDefault="00961533" w:rsidP="000E0EB7">
            <w:pPr>
              <w:pStyle w:val="Text"/>
              <w:rPr>
                <w:color w:val="FF0000"/>
              </w:rPr>
            </w:pPr>
            <w:r>
              <w:t xml:space="preserve">Téléphone : +49 (0) 2645 131 </w:t>
            </w:r>
            <w:r>
              <w:rPr>
                <w:color w:val="000000" w:themeColor="text1"/>
              </w:rPr>
              <w:t xml:space="preserve">– 1966 </w:t>
            </w:r>
          </w:p>
          <w:p w14:paraId="1A8F8448" w14:textId="77777777" w:rsidR="00961533" w:rsidRPr="00E04039" w:rsidRDefault="00961533" w:rsidP="000E0EB7">
            <w:pPr>
              <w:pStyle w:val="Text"/>
            </w:pPr>
            <w:proofErr w:type="spellStart"/>
            <w:r>
              <w:t>Telefax</w:t>
            </w:r>
            <w:proofErr w:type="spellEnd"/>
            <w:r>
              <w:t> : +49 (0) 2645 131 – 499</w:t>
            </w:r>
          </w:p>
          <w:p w14:paraId="0ED27DA0" w14:textId="77777777" w:rsidR="00961533" w:rsidRPr="00E04039" w:rsidRDefault="00961533" w:rsidP="000E0EB7">
            <w:pPr>
              <w:pStyle w:val="Text"/>
            </w:pPr>
            <w:proofErr w:type="gramStart"/>
            <w:r>
              <w:t>E-mail</w:t>
            </w:r>
            <w:proofErr w:type="gramEnd"/>
            <w:r>
              <w:t> : PR@wirtgen-group.com</w:t>
            </w:r>
          </w:p>
          <w:p w14:paraId="3FA1DCFF" w14:textId="38A6EF3B" w:rsidR="00961533" w:rsidRPr="00B07D3F" w:rsidRDefault="00961533" w:rsidP="000E0EB7">
            <w:pPr>
              <w:pStyle w:val="Text"/>
            </w:pPr>
            <w:r>
              <w:t>www.wirtgen-group.com</w:t>
            </w:r>
          </w:p>
        </w:tc>
        <w:tc>
          <w:tcPr>
            <w:tcW w:w="4765" w:type="dxa"/>
            <w:tcBorders>
              <w:left w:val="single" w:sz="48" w:space="0" w:color="FFFFFF" w:themeColor="background1"/>
            </w:tcBorders>
          </w:tcPr>
          <w:p w14:paraId="3FA7F103" w14:textId="77777777" w:rsidR="00961533" w:rsidRPr="00E04039" w:rsidRDefault="00961533" w:rsidP="000E0EB7">
            <w:pPr>
              <w:pStyle w:val="Text"/>
            </w:pPr>
          </w:p>
        </w:tc>
      </w:tr>
    </w:tbl>
    <w:p w14:paraId="630C3CB6" w14:textId="77777777" w:rsidR="00902721" w:rsidRPr="00435691" w:rsidRDefault="00902721" w:rsidP="00452EC9">
      <w:pPr>
        <w:pStyle w:val="Text"/>
        <w:rPr>
          <w:i/>
          <w:u w:val="single"/>
        </w:rPr>
      </w:pPr>
    </w:p>
    <w:sectPr w:rsidR="00902721" w:rsidRPr="00435691" w:rsidSect="00C74E8F">
      <w:headerReference w:type="default" r:id="rId12"/>
      <w:footerReference w:type="default" r:id="rId13"/>
      <w:headerReference w:type="first" r:id="rId14"/>
      <w:footerReference w:type="first" r:id="rId15"/>
      <w:pgSz w:w="11906" w:h="16838" w:code="9"/>
      <w:pgMar w:top="198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31F6A7" w14:textId="77777777" w:rsidR="0023644F" w:rsidRDefault="0023644F" w:rsidP="00E55534">
      <w:r>
        <w:separator/>
      </w:r>
    </w:p>
  </w:endnote>
  <w:endnote w:type="continuationSeparator" w:id="0">
    <w:p w14:paraId="780EC68E" w14:textId="77777777" w:rsidR="0023644F" w:rsidRDefault="0023644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venirNext LT Pro Regular">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040133F9"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30379B">
            <w:t>05</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w:t>
          </w:r>
          <w:proofErr w:type="gramStart"/>
          <w:r>
            <w:t>T:</w:t>
          </w:r>
          <w:proofErr w:type="gramEnd"/>
          <w:r>
            <w:t xml:space="preserve">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E2D5D" w14:textId="77777777" w:rsidR="0023644F" w:rsidRDefault="0023644F" w:rsidP="00E55534">
      <w:r>
        <w:separator/>
      </w:r>
    </w:p>
  </w:footnote>
  <w:footnote w:type="continuationSeparator" w:id="0">
    <w:p w14:paraId="087C25FD" w14:textId="77777777" w:rsidR="0023644F" w:rsidRDefault="0023644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6.75pt;height:6.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68304A1"/>
    <w:multiLevelType w:val="hybridMultilevel"/>
    <w:tmpl w:val="4E543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AAA"/>
    <w:rsid w:val="000046E8"/>
    <w:rsid w:val="0000745C"/>
    <w:rsid w:val="0001231B"/>
    <w:rsid w:val="000148B3"/>
    <w:rsid w:val="000266CB"/>
    <w:rsid w:val="00042106"/>
    <w:rsid w:val="00047AB3"/>
    <w:rsid w:val="00047AE8"/>
    <w:rsid w:val="0005285B"/>
    <w:rsid w:val="00055529"/>
    <w:rsid w:val="000635CF"/>
    <w:rsid w:val="00066147"/>
    <w:rsid w:val="00066D09"/>
    <w:rsid w:val="00084497"/>
    <w:rsid w:val="000855B0"/>
    <w:rsid w:val="000866C8"/>
    <w:rsid w:val="0009193F"/>
    <w:rsid w:val="000937C5"/>
    <w:rsid w:val="0009665C"/>
    <w:rsid w:val="000A36D9"/>
    <w:rsid w:val="000C036E"/>
    <w:rsid w:val="000C34F1"/>
    <w:rsid w:val="000C612D"/>
    <w:rsid w:val="000D15C3"/>
    <w:rsid w:val="000D26C7"/>
    <w:rsid w:val="000E24F8"/>
    <w:rsid w:val="000E5738"/>
    <w:rsid w:val="000E7FA8"/>
    <w:rsid w:val="00103205"/>
    <w:rsid w:val="00107D02"/>
    <w:rsid w:val="0011795C"/>
    <w:rsid w:val="0012026F"/>
    <w:rsid w:val="001242C8"/>
    <w:rsid w:val="0012655D"/>
    <w:rsid w:val="00130601"/>
    <w:rsid w:val="00130BFD"/>
    <w:rsid w:val="00132055"/>
    <w:rsid w:val="00133605"/>
    <w:rsid w:val="00136182"/>
    <w:rsid w:val="00147935"/>
    <w:rsid w:val="0015030E"/>
    <w:rsid w:val="00151F78"/>
    <w:rsid w:val="00156B15"/>
    <w:rsid w:val="00156C9E"/>
    <w:rsid w:val="00160FF6"/>
    <w:rsid w:val="001613A6"/>
    <w:rsid w:val="001614F0"/>
    <w:rsid w:val="001616F4"/>
    <w:rsid w:val="0018021A"/>
    <w:rsid w:val="00190AEF"/>
    <w:rsid w:val="00193F27"/>
    <w:rsid w:val="00194FB1"/>
    <w:rsid w:val="001A7629"/>
    <w:rsid w:val="001B16BB"/>
    <w:rsid w:val="001B2059"/>
    <w:rsid w:val="001B32AD"/>
    <w:rsid w:val="001B592D"/>
    <w:rsid w:val="001B6796"/>
    <w:rsid w:val="001B79D1"/>
    <w:rsid w:val="001C1A3E"/>
    <w:rsid w:val="001D5AEA"/>
    <w:rsid w:val="00206981"/>
    <w:rsid w:val="002113B5"/>
    <w:rsid w:val="00220479"/>
    <w:rsid w:val="00223EB1"/>
    <w:rsid w:val="00226D15"/>
    <w:rsid w:val="00234FDB"/>
    <w:rsid w:val="0023644F"/>
    <w:rsid w:val="0024134E"/>
    <w:rsid w:val="002537FE"/>
    <w:rsid w:val="00253A2E"/>
    <w:rsid w:val="002603EC"/>
    <w:rsid w:val="00276ED6"/>
    <w:rsid w:val="0028229E"/>
    <w:rsid w:val="002840B5"/>
    <w:rsid w:val="00287C9E"/>
    <w:rsid w:val="0029634D"/>
    <w:rsid w:val="002A24ED"/>
    <w:rsid w:val="002A4812"/>
    <w:rsid w:val="002B18A8"/>
    <w:rsid w:val="002B1B54"/>
    <w:rsid w:val="002D065C"/>
    <w:rsid w:val="002D0780"/>
    <w:rsid w:val="002D2EE5"/>
    <w:rsid w:val="002D39AE"/>
    <w:rsid w:val="002E765F"/>
    <w:rsid w:val="002F108B"/>
    <w:rsid w:val="002F5818"/>
    <w:rsid w:val="002F5E2A"/>
    <w:rsid w:val="0030316D"/>
    <w:rsid w:val="0030379B"/>
    <w:rsid w:val="00307EC6"/>
    <w:rsid w:val="003104DD"/>
    <w:rsid w:val="00316E1C"/>
    <w:rsid w:val="0032774C"/>
    <w:rsid w:val="0034191A"/>
    <w:rsid w:val="00343CC7"/>
    <w:rsid w:val="003529E1"/>
    <w:rsid w:val="00355304"/>
    <w:rsid w:val="0036561D"/>
    <w:rsid w:val="003665BE"/>
    <w:rsid w:val="003733E4"/>
    <w:rsid w:val="00375BA8"/>
    <w:rsid w:val="00384A08"/>
    <w:rsid w:val="0038594F"/>
    <w:rsid w:val="0039159C"/>
    <w:rsid w:val="003940DC"/>
    <w:rsid w:val="003967E5"/>
    <w:rsid w:val="003A753A"/>
    <w:rsid w:val="003B172A"/>
    <w:rsid w:val="003D79FD"/>
    <w:rsid w:val="003E0377"/>
    <w:rsid w:val="003E1CB6"/>
    <w:rsid w:val="003E3CF6"/>
    <w:rsid w:val="003E56D9"/>
    <w:rsid w:val="003E759F"/>
    <w:rsid w:val="003E7853"/>
    <w:rsid w:val="00400510"/>
    <w:rsid w:val="00400FD9"/>
    <w:rsid w:val="004016F7"/>
    <w:rsid w:val="00403373"/>
    <w:rsid w:val="00406C81"/>
    <w:rsid w:val="00412545"/>
    <w:rsid w:val="0041418E"/>
    <w:rsid w:val="00426D35"/>
    <w:rsid w:val="00430BB0"/>
    <w:rsid w:val="00435691"/>
    <w:rsid w:val="00440854"/>
    <w:rsid w:val="004434E2"/>
    <w:rsid w:val="00452EC9"/>
    <w:rsid w:val="004707FF"/>
    <w:rsid w:val="00476100"/>
    <w:rsid w:val="004875DB"/>
    <w:rsid w:val="00487BFC"/>
    <w:rsid w:val="004909D3"/>
    <w:rsid w:val="004A05CC"/>
    <w:rsid w:val="004A07DA"/>
    <w:rsid w:val="004B7B99"/>
    <w:rsid w:val="004C47B8"/>
    <w:rsid w:val="004D1FBB"/>
    <w:rsid w:val="004D23D0"/>
    <w:rsid w:val="004D2BE0"/>
    <w:rsid w:val="004E303D"/>
    <w:rsid w:val="004E6EF5"/>
    <w:rsid w:val="00503DA5"/>
    <w:rsid w:val="00506409"/>
    <w:rsid w:val="00530E32"/>
    <w:rsid w:val="00533132"/>
    <w:rsid w:val="005365EC"/>
    <w:rsid w:val="0053728B"/>
    <w:rsid w:val="00542270"/>
    <w:rsid w:val="005505CA"/>
    <w:rsid w:val="005649F4"/>
    <w:rsid w:val="005710C8"/>
    <w:rsid w:val="005711A3"/>
    <w:rsid w:val="00571A5C"/>
    <w:rsid w:val="00573001"/>
    <w:rsid w:val="00573B2B"/>
    <w:rsid w:val="0057508A"/>
    <w:rsid w:val="005776E9"/>
    <w:rsid w:val="005903D4"/>
    <w:rsid w:val="00594DD6"/>
    <w:rsid w:val="00596A3B"/>
    <w:rsid w:val="005A4F04"/>
    <w:rsid w:val="005B5793"/>
    <w:rsid w:val="005D03CE"/>
    <w:rsid w:val="005D5982"/>
    <w:rsid w:val="005D7C1B"/>
    <w:rsid w:val="005E11F9"/>
    <w:rsid w:val="005E2DED"/>
    <w:rsid w:val="005E3439"/>
    <w:rsid w:val="005F1200"/>
    <w:rsid w:val="00604A7C"/>
    <w:rsid w:val="00605F95"/>
    <w:rsid w:val="006063D4"/>
    <w:rsid w:val="00610C5C"/>
    <w:rsid w:val="006330A2"/>
    <w:rsid w:val="00642EB6"/>
    <w:rsid w:val="006433E2"/>
    <w:rsid w:val="00651E5D"/>
    <w:rsid w:val="006601D7"/>
    <w:rsid w:val="0067597D"/>
    <w:rsid w:val="00682B1A"/>
    <w:rsid w:val="006872E5"/>
    <w:rsid w:val="00690D7C"/>
    <w:rsid w:val="00693E91"/>
    <w:rsid w:val="00697C17"/>
    <w:rsid w:val="006A7EE9"/>
    <w:rsid w:val="006B3EEC"/>
    <w:rsid w:val="006C24A6"/>
    <w:rsid w:val="006C5E89"/>
    <w:rsid w:val="006D5872"/>
    <w:rsid w:val="006D7EAC"/>
    <w:rsid w:val="006E0104"/>
    <w:rsid w:val="006E6EAC"/>
    <w:rsid w:val="006F6FBF"/>
    <w:rsid w:val="006F7602"/>
    <w:rsid w:val="0070100C"/>
    <w:rsid w:val="007076FD"/>
    <w:rsid w:val="00710146"/>
    <w:rsid w:val="00722A17"/>
    <w:rsid w:val="00723F4F"/>
    <w:rsid w:val="007534F9"/>
    <w:rsid w:val="00755AE0"/>
    <w:rsid w:val="0075761B"/>
    <w:rsid w:val="00757B83"/>
    <w:rsid w:val="00772D41"/>
    <w:rsid w:val="00777C2E"/>
    <w:rsid w:val="00784184"/>
    <w:rsid w:val="00784F95"/>
    <w:rsid w:val="00791A69"/>
    <w:rsid w:val="00794830"/>
    <w:rsid w:val="00797CAA"/>
    <w:rsid w:val="007A1E3E"/>
    <w:rsid w:val="007A7B5C"/>
    <w:rsid w:val="007B605C"/>
    <w:rsid w:val="007C2658"/>
    <w:rsid w:val="007C55F3"/>
    <w:rsid w:val="007D59A2"/>
    <w:rsid w:val="007E055F"/>
    <w:rsid w:val="007E0CB9"/>
    <w:rsid w:val="007E20D0"/>
    <w:rsid w:val="007E3DAB"/>
    <w:rsid w:val="0080341D"/>
    <w:rsid w:val="00805226"/>
    <w:rsid w:val="008053B3"/>
    <w:rsid w:val="00820315"/>
    <w:rsid w:val="00821919"/>
    <w:rsid w:val="00832921"/>
    <w:rsid w:val="008418F5"/>
    <w:rsid w:val="008427F2"/>
    <w:rsid w:val="00843B45"/>
    <w:rsid w:val="00863129"/>
    <w:rsid w:val="00866830"/>
    <w:rsid w:val="00874EAE"/>
    <w:rsid w:val="008755E5"/>
    <w:rsid w:val="00881589"/>
    <w:rsid w:val="00892F6F"/>
    <w:rsid w:val="00896F44"/>
    <w:rsid w:val="00896F7E"/>
    <w:rsid w:val="008B1D94"/>
    <w:rsid w:val="008B5CA6"/>
    <w:rsid w:val="008C01F9"/>
    <w:rsid w:val="008C18E8"/>
    <w:rsid w:val="008C2A29"/>
    <w:rsid w:val="008C2DB2"/>
    <w:rsid w:val="008D770E"/>
    <w:rsid w:val="008E0C88"/>
    <w:rsid w:val="008F6DA8"/>
    <w:rsid w:val="00902721"/>
    <w:rsid w:val="0090337E"/>
    <w:rsid w:val="00914981"/>
    <w:rsid w:val="009173EA"/>
    <w:rsid w:val="00921C5A"/>
    <w:rsid w:val="009250B1"/>
    <w:rsid w:val="009328FA"/>
    <w:rsid w:val="00934DA2"/>
    <w:rsid w:val="009355BC"/>
    <w:rsid w:val="00936A78"/>
    <w:rsid w:val="0094446E"/>
    <w:rsid w:val="00952853"/>
    <w:rsid w:val="00952E39"/>
    <w:rsid w:val="00955D7C"/>
    <w:rsid w:val="00961533"/>
    <w:rsid w:val="009646E4"/>
    <w:rsid w:val="00974C40"/>
    <w:rsid w:val="00977EC3"/>
    <w:rsid w:val="00981AD1"/>
    <w:rsid w:val="009829E6"/>
    <w:rsid w:val="009B211F"/>
    <w:rsid w:val="009B7C05"/>
    <w:rsid w:val="009C2378"/>
    <w:rsid w:val="009C5A77"/>
    <w:rsid w:val="009C5D99"/>
    <w:rsid w:val="009D016F"/>
    <w:rsid w:val="009D7E11"/>
    <w:rsid w:val="009E251D"/>
    <w:rsid w:val="009E354C"/>
    <w:rsid w:val="009E7CDD"/>
    <w:rsid w:val="009F10A8"/>
    <w:rsid w:val="00A02F49"/>
    <w:rsid w:val="00A07CC3"/>
    <w:rsid w:val="00A150A2"/>
    <w:rsid w:val="00A171F4"/>
    <w:rsid w:val="00A1772D"/>
    <w:rsid w:val="00A177B2"/>
    <w:rsid w:val="00A21935"/>
    <w:rsid w:val="00A24EFC"/>
    <w:rsid w:val="00A25BBA"/>
    <w:rsid w:val="00A45FB0"/>
    <w:rsid w:val="00A64850"/>
    <w:rsid w:val="00A6711D"/>
    <w:rsid w:val="00A77A8C"/>
    <w:rsid w:val="00A977CE"/>
    <w:rsid w:val="00AA67D2"/>
    <w:rsid w:val="00AB52F9"/>
    <w:rsid w:val="00AB774E"/>
    <w:rsid w:val="00AC029D"/>
    <w:rsid w:val="00AD131F"/>
    <w:rsid w:val="00AD32D5"/>
    <w:rsid w:val="00AD70E4"/>
    <w:rsid w:val="00AF3B3A"/>
    <w:rsid w:val="00AF4E8E"/>
    <w:rsid w:val="00AF6569"/>
    <w:rsid w:val="00B00CD8"/>
    <w:rsid w:val="00B06265"/>
    <w:rsid w:val="00B07D3F"/>
    <w:rsid w:val="00B215D2"/>
    <w:rsid w:val="00B22AF5"/>
    <w:rsid w:val="00B35226"/>
    <w:rsid w:val="00B47D61"/>
    <w:rsid w:val="00B51357"/>
    <w:rsid w:val="00B5232A"/>
    <w:rsid w:val="00B634B7"/>
    <w:rsid w:val="00B65B08"/>
    <w:rsid w:val="00B66E1A"/>
    <w:rsid w:val="00B7600A"/>
    <w:rsid w:val="00B76949"/>
    <w:rsid w:val="00B865A3"/>
    <w:rsid w:val="00B90F78"/>
    <w:rsid w:val="00B91913"/>
    <w:rsid w:val="00BB79A9"/>
    <w:rsid w:val="00BC79ED"/>
    <w:rsid w:val="00BD1058"/>
    <w:rsid w:val="00BD5391"/>
    <w:rsid w:val="00BD764C"/>
    <w:rsid w:val="00BF31D4"/>
    <w:rsid w:val="00BF56B2"/>
    <w:rsid w:val="00C0071C"/>
    <w:rsid w:val="00C055AB"/>
    <w:rsid w:val="00C102CC"/>
    <w:rsid w:val="00C11F95"/>
    <w:rsid w:val="00C136DF"/>
    <w:rsid w:val="00C14FC1"/>
    <w:rsid w:val="00C1581F"/>
    <w:rsid w:val="00C31872"/>
    <w:rsid w:val="00C34CE8"/>
    <w:rsid w:val="00C36C5D"/>
    <w:rsid w:val="00C40627"/>
    <w:rsid w:val="00C43321"/>
    <w:rsid w:val="00C457C3"/>
    <w:rsid w:val="00C4622E"/>
    <w:rsid w:val="00C52B91"/>
    <w:rsid w:val="00C644CA"/>
    <w:rsid w:val="00C6740D"/>
    <w:rsid w:val="00C71666"/>
    <w:rsid w:val="00C73005"/>
    <w:rsid w:val="00C74E8F"/>
    <w:rsid w:val="00C80278"/>
    <w:rsid w:val="00C85E18"/>
    <w:rsid w:val="00C90BF1"/>
    <w:rsid w:val="00C93CD6"/>
    <w:rsid w:val="00CA4A09"/>
    <w:rsid w:val="00CB0EB0"/>
    <w:rsid w:val="00CB1584"/>
    <w:rsid w:val="00CB1B19"/>
    <w:rsid w:val="00CB225A"/>
    <w:rsid w:val="00CC787C"/>
    <w:rsid w:val="00CD0597"/>
    <w:rsid w:val="00CE2A07"/>
    <w:rsid w:val="00CE75D3"/>
    <w:rsid w:val="00CF35FF"/>
    <w:rsid w:val="00CF36C9"/>
    <w:rsid w:val="00D00EC4"/>
    <w:rsid w:val="00D101DF"/>
    <w:rsid w:val="00D166AC"/>
    <w:rsid w:val="00D205E0"/>
    <w:rsid w:val="00D35106"/>
    <w:rsid w:val="00D35C9D"/>
    <w:rsid w:val="00D36BA2"/>
    <w:rsid w:val="00D3752F"/>
    <w:rsid w:val="00D37CF4"/>
    <w:rsid w:val="00D440CF"/>
    <w:rsid w:val="00D4487C"/>
    <w:rsid w:val="00D638C1"/>
    <w:rsid w:val="00D76723"/>
    <w:rsid w:val="00D76D38"/>
    <w:rsid w:val="00DA1D64"/>
    <w:rsid w:val="00DA5228"/>
    <w:rsid w:val="00DB4BB0"/>
    <w:rsid w:val="00DE2813"/>
    <w:rsid w:val="00DE2F16"/>
    <w:rsid w:val="00DE33C7"/>
    <w:rsid w:val="00DE461D"/>
    <w:rsid w:val="00E03160"/>
    <w:rsid w:val="00E04039"/>
    <w:rsid w:val="00E14608"/>
    <w:rsid w:val="00E158D7"/>
    <w:rsid w:val="00E16E51"/>
    <w:rsid w:val="00E21D20"/>
    <w:rsid w:val="00E21E67"/>
    <w:rsid w:val="00E24A69"/>
    <w:rsid w:val="00E24E9E"/>
    <w:rsid w:val="00E308AF"/>
    <w:rsid w:val="00E30EBF"/>
    <w:rsid w:val="00E316C0"/>
    <w:rsid w:val="00E37B79"/>
    <w:rsid w:val="00E52D70"/>
    <w:rsid w:val="00E55534"/>
    <w:rsid w:val="00E67BB1"/>
    <w:rsid w:val="00E70606"/>
    <w:rsid w:val="00E7116D"/>
    <w:rsid w:val="00E7718A"/>
    <w:rsid w:val="00E81850"/>
    <w:rsid w:val="00E914D1"/>
    <w:rsid w:val="00E960D8"/>
    <w:rsid w:val="00EA3291"/>
    <w:rsid w:val="00EB3835"/>
    <w:rsid w:val="00F05E01"/>
    <w:rsid w:val="00F1510F"/>
    <w:rsid w:val="00F20920"/>
    <w:rsid w:val="00F23212"/>
    <w:rsid w:val="00F309D0"/>
    <w:rsid w:val="00F33B16"/>
    <w:rsid w:val="00F353EA"/>
    <w:rsid w:val="00F41370"/>
    <w:rsid w:val="00F56318"/>
    <w:rsid w:val="00F75B79"/>
    <w:rsid w:val="00F76A1E"/>
    <w:rsid w:val="00F802AB"/>
    <w:rsid w:val="00F82525"/>
    <w:rsid w:val="00F868A9"/>
    <w:rsid w:val="00F87CEF"/>
    <w:rsid w:val="00F93B69"/>
    <w:rsid w:val="00F97FEA"/>
    <w:rsid w:val="00FB0EFE"/>
    <w:rsid w:val="00FB60E1"/>
    <w:rsid w:val="00FD3768"/>
    <w:rsid w:val="00FD7E99"/>
    <w:rsid w:val="00FE17DC"/>
    <w:rsid w:val="00FE37CE"/>
    <w:rsid w:val="00FF3B4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customStyle="1" w:styleId="Tabelleninhalt">
    <w:name w:val="Tabelleninhalt"/>
    <w:basedOn w:val="Standard"/>
    <w:qFormat/>
    <w:rsid w:val="00FD7E99"/>
    <w:pPr>
      <w:widowControl w:val="0"/>
      <w:suppressLineNumbers/>
      <w:suppressAutoHyphens/>
    </w:pPr>
    <w:rPr>
      <w:rFonts w:ascii="Arial" w:eastAsia="Arial Unicode MS" w:hAnsi="Arial" w:cs="Lucida Sans"/>
      <w:kern w:val="2"/>
      <w:sz w:val="22"/>
      <w:szCs w:val="24"/>
      <w:lang w:eastAsia="zh-CN" w:bidi="hi-IN"/>
    </w:rPr>
  </w:style>
  <w:style w:type="character" w:styleId="Fett">
    <w:name w:val="Strong"/>
    <w:basedOn w:val="Absatz-Standardschriftart"/>
    <w:uiPriority w:val="22"/>
    <w:qFormat/>
    <w:rsid w:val="00821919"/>
    <w:rPr>
      <w:b/>
      <w:bCs/>
    </w:rPr>
  </w:style>
  <w:style w:type="paragraph" w:customStyle="1" w:styleId="04FlietextAbsatzformatWirtgen">
    <w:name w:val="04 Fließtext (Absatzformat Wirtgen)"/>
    <w:basedOn w:val="Standard"/>
    <w:uiPriority w:val="99"/>
    <w:rsid w:val="002B1B54"/>
    <w:pPr>
      <w:autoSpaceDE w:val="0"/>
      <w:autoSpaceDN w:val="0"/>
      <w:adjustRightInd w:val="0"/>
      <w:spacing w:line="280" w:lineRule="atLeast"/>
      <w:textAlignment w:val="center"/>
    </w:pPr>
    <w:rPr>
      <w:rFonts w:ascii="AvenirNext LT Pro Regular" w:eastAsiaTheme="minorHAnsi" w:hAnsi="AvenirNext LT Pro Regular" w:cs="AvenirNext LT Pro Regular"/>
      <w:color w:val="000000"/>
      <w:sz w:val="19"/>
      <w:szCs w:val="19"/>
    </w:rPr>
  </w:style>
  <w:style w:type="paragraph" w:styleId="berarbeitung">
    <w:name w:val="Revision"/>
    <w:hidden/>
    <w:uiPriority w:val="71"/>
    <w:semiHidden/>
    <w:rsid w:val="006C24A6"/>
    <w:rPr>
      <w:sz w:val="16"/>
      <w:szCs w:val="16"/>
      <w:lang w:eastAsia="en-US"/>
    </w:rPr>
  </w:style>
  <w:style w:type="paragraph" w:styleId="Listenabsatz">
    <w:name w:val="List Paragraph"/>
    <w:basedOn w:val="Standard"/>
    <w:uiPriority w:val="34"/>
    <w:qFormat/>
    <w:rsid w:val="00B07D3F"/>
    <w:pPr>
      <w:ind w:left="720"/>
      <w:contextualSpacing/>
    </w:pPr>
    <w:rPr>
      <w:rFonts w:asciiTheme="minorHAnsi" w:eastAsiaTheme="minorHAnsi"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25280-200D-474D-A500-EB8D0C5FF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995</Words>
  <Characters>6271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7252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2021-09-02T12:33:00Z</cp:lastPrinted>
  <dcterms:created xsi:type="dcterms:W3CDTF">2021-10-06T11:26:00Z</dcterms:created>
  <dcterms:modified xsi:type="dcterms:W3CDTF">2021-10-06T11:26:00Z</dcterms:modified>
</cp:coreProperties>
</file>